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CD" w:rsidRDefault="008C2A77" w:rsidP="00B45703">
      <w:pPr>
        <w:pStyle w:val="normal"/>
      </w:pPr>
      <w:bookmarkStart w:id="0" w:name="_GoBack"/>
      <w:bookmarkEnd w:id="0"/>
      <w:r>
        <w:rPr>
          <w:rFonts w:ascii="Calibri" w:hAnsi="Calibri"/>
          <w:b/>
        </w:rPr>
        <w:t>Żywiec gruczołowaty</w:t>
      </w:r>
      <w:r w:rsidR="005A6FEF" w:rsidRPr="00067594">
        <w:rPr>
          <w:rFonts w:ascii="Calibri" w:hAnsi="Calibri"/>
          <w:b/>
        </w:rPr>
        <w:t xml:space="preserve"> </w:t>
      </w:r>
      <w:r w:rsidR="00B94F8B" w:rsidRPr="007664A7">
        <w:t>(</w:t>
      </w:r>
      <w:r w:rsidRPr="00FB6C32">
        <w:t>Cardamine glanduligera</w:t>
      </w:r>
      <w:r w:rsidR="007664A7" w:rsidRPr="007664A7">
        <w:t>)</w:t>
      </w:r>
    </w:p>
    <w:p w:rsidR="000C536A" w:rsidRDefault="000C536A" w:rsidP="00B45703">
      <w:pPr>
        <w:pStyle w:val="normal"/>
      </w:pPr>
    </w:p>
    <w:p w:rsidR="00DD41F2" w:rsidRDefault="000C536A" w:rsidP="00DD41F2">
      <w:pPr>
        <w:pStyle w:val="normal"/>
      </w:pPr>
      <w:r>
        <w:t>Preparaty z żywca znajdują zastosowanie w leczeniu lekoodpornych infekcji bakteryjnych (np. układu moczowego), grzybiczych i pierwotniakowych. Pobudzają wydzielanie soków trawiennych, żółci, są moczopędne. Stosuje się przy spadku odporności, przy nieżytach układu oddechowego, pomocniczo przy chorobach nowotworowych, boreliozie. Zasadniczo stosowanie żywca nie jest łatwe dla początkującego zielarza</w:t>
      </w:r>
      <w:r w:rsidR="00DD41F2">
        <w:t xml:space="preserve">, choćby dlatego, że używamy go w stanie świeżym lub w postaci maceratów wodnych, zakonserwowanych alkoholem, octem lub zamrożonych. Nie suszymy go i nie podgrzewamy. </w:t>
      </w:r>
    </w:p>
    <w:p w:rsidR="00DD41F2" w:rsidRPr="00067594" w:rsidRDefault="00DD41F2" w:rsidP="00DD41F2">
      <w:pPr>
        <w:pStyle w:val="normal"/>
        <w:rPr>
          <w:rFonts w:ascii="Calibri" w:hAnsi="Calibri"/>
          <w:color w:val="000000"/>
        </w:rPr>
      </w:pPr>
      <w:r>
        <w:t xml:space="preserve">Jednak nawet jeśli nie będziemy stosować żywca warto wiedzieć, że jest ziołowy sposób na lekoodporne infekcje. </w:t>
      </w:r>
    </w:p>
    <w:p w:rsidR="00AF0C67" w:rsidRPr="00067594" w:rsidRDefault="00AF0C67" w:rsidP="00B45703">
      <w:pPr>
        <w:pStyle w:val="normal"/>
        <w:rPr>
          <w:rFonts w:ascii="Calibri" w:hAnsi="Calibri"/>
          <w:color w:val="000000"/>
        </w:rPr>
      </w:pPr>
    </w:p>
    <w:p w:rsidR="00AF0C67" w:rsidRDefault="00AF0C6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Przynależność systematyczna</w:t>
      </w:r>
    </w:p>
    <w:p w:rsidR="00F838E1" w:rsidRPr="00067594" w:rsidRDefault="00F838E1" w:rsidP="00BD5AC3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229"/>
      </w:tblGrid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Domena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eukarioty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Królestwo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rośliny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Gromada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 xml:space="preserve">rośliny naczyniowe 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Podgromada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rośliny nasienne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Nadklasa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okrytonasienne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Rząd</w:t>
            </w:r>
          </w:p>
        </w:tc>
        <w:tc>
          <w:tcPr>
            <w:tcW w:w="0" w:type="auto"/>
          </w:tcPr>
          <w:p w:rsidR="00B52B02" w:rsidRPr="008701B2" w:rsidRDefault="008C2A77" w:rsidP="008701B2">
            <w:r>
              <w:t>kapusto</w:t>
            </w:r>
            <w:r w:rsidR="00B52B02">
              <w:t>wce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Rodzina</w:t>
            </w:r>
          </w:p>
        </w:tc>
        <w:tc>
          <w:tcPr>
            <w:tcW w:w="0" w:type="auto"/>
          </w:tcPr>
          <w:p w:rsidR="00B52B02" w:rsidRPr="00067594" w:rsidRDefault="008C2A77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kapusto</w:t>
            </w:r>
            <w:r w:rsidR="00B52B02">
              <w:rPr>
                <w:rFonts w:ascii="Calibri" w:hAnsi="Calibri"/>
              </w:rPr>
              <w:t>wate</w:t>
            </w:r>
          </w:p>
        </w:tc>
      </w:tr>
      <w:tr w:rsidR="00B52B02" w:rsidRPr="00067594" w:rsidTr="008C2A77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 xml:space="preserve">Rodzaj  </w:t>
            </w:r>
          </w:p>
        </w:tc>
        <w:tc>
          <w:tcPr>
            <w:tcW w:w="0" w:type="auto"/>
          </w:tcPr>
          <w:p w:rsidR="00B52B02" w:rsidRPr="00067594" w:rsidRDefault="00FB6C3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rzeżucha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Gatunek</w:t>
            </w:r>
          </w:p>
        </w:tc>
        <w:tc>
          <w:tcPr>
            <w:tcW w:w="0" w:type="auto"/>
          </w:tcPr>
          <w:p w:rsidR="00B52B02" w:rsidRPr="00067594" w:rsidRDefault="008C2A77" w:rsidP="00B52B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żywiec gruczołowaty</w:t>
            </w:r>
          </w:p>
        </w:tc>
      </w:tr>
    </w:tbl>
    <w:p w:rsidR="00F838E1" w:rsidRDefault="00F838E1" w:rsidP="00F838E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F838E1" w:rsidRDefault="00F838E1" w:rsidP="00F838E1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Wystę</w:t>
      </w:r>
      <w:r>
        <w:rPr>
          <w:rFonts w:ascii="Calibri" w:hAnsi="Calibri"/>
          <w:color w:val="000000"/>
        </w:rPr>
        <w:t>powanie i biologia</w:t>
      </w:r>
    </w:p>
    <w:p w:rsidR="00F838E1" w:rsidRDefault="00F838E1" w:rsidP="00F838E1">
      <w:pPr>
        <w:rPr>
          <w:rFonts w:ascii="Calibri" w:hAnsi="Calibri"/>
          <w:color w:val="000000"/>
        </w:rPr>
      </w:pPr>
    </w:p>
    <w:p w:rsidR="00AF0C67" w:rsidRDefault="00F838E1" w:rsidP="00F838E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Jest to subendemit karpacki czyli występuje prawie wyłącznie w Karpatach. Jedna z pierwszych roślin kwitnących w bukowych i bukowo-jodłowych lasach. Niekiedy pierwsze kwiaty pojawiają się już w marcu, wśród resztek śniegu. Często występuje łanowo. Po przekwitnięciu, kiedy rozwijają się liście drzew i krzewów i w lesie robi się ciemno, żywce znikają stopniowo z podszytu i latem próżno by ich szukać. Taką formę roślin bylinowych nazywamy geofitami wiosennymi. Rośliny o takim sposobie życia mają  cebule, bulwy lub masywne korzenie. Muszą mieć zapasy dla błyskawicznego rozwoju na wiosnę, żeby wykorzystać do wzrostu, kwitnienia i wytworzenia nasion ledwie kilka wiosennych miesięcy</w:t>
      </w:r>
    </w:p>
    <w:p w:rsidR="00AB33FA" w:rsidRDefault="00AB33FA" w:rsidP="00BD5AC3">
      <w:pPr>
        <w:rPr>
          <w:rFonts w:ascii="Calibri" w:hAnsi="Calibri"/>
          <w:color w:val="000000"/>
        </w:rPr>
      </w:pPr>
    </w:p>
    <w:p w:rsidR="00AB33FA" w:rsidRDefault="00AB33FA" w:rsidP="00BD5AC3">
      <w:pPr>
        <w:rPr>
          <w:rFonts w:ascii="Calibri" w:hAnsi="Calibri"/>
          <w:color w:val="000000"/>
        </w:rPr>
      </w:pPr>
    </w:p>
    <w:p w:rsidR="00AF0C67" w:rsidRDefault="00AF0C6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Ciekawostki</w:t>
      </w:r>
    </w:p>
    <w:p w:rsidR="002073EB" w:rsidRDefault="002073EB" w:rsidP="00BD5AC3">
      <w:pPr>
        <w:rPr>
          <w:rFonts w:ascii="Calibri" w:hAnsi="Calibri"/>
          <w:color w:val="000000"/>
        </w:rPr>
      </w:pPr>
    </w:p>
    <w:p w:rsidR="002073EB" w:rsidRPr="00067594" w:rsidRDefault="002073EB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 Podkarpaciu niekiedy w tym samym lesie występuje jednocześnie żywiec gruczołowaty i bulwiasty ale ten drugi kwitnie później i wytwarza w kątach liści bulwki, za pomocą których się rozmnaża, więc nawet początkujący zielarz może je odróżnić.</w:t>
      </w:r>
    </w:p>
    <w:p w:rsidR="00980C17" w:rsidRDefault="00980C1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 xml:space="preserve">. </w:t>
      </w: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0B331C" w:rsidP="00BD5AC3">
      <w:pPr>
        <w:rPr>
          <w:rFonts w:ascii="Calibri" w:hAnsi="Calibri"/>
          <w:color w:val="000000"/>
        </w:rPr>
      </w:pPr>
      <w:r w:rsidRPr="00EA6411">
        <w:rPr>
          <w:rFonts w:ascii="Calibri" w:hAnsi="Calibri"/>
          <w:noProof/>
          <w:color w:val="000000"/>
        </w:rPr>
        <w:drawing>
          <wp:inline distT="0" distB="0" distL="0" distR="0">
            <wp:extent cx="6419850" cy="2943225"/>
            <wp:effectExtent l="0" t="0" r="0" b="0"/>
            <wp:docPr id="1" name="Obraz 1" descr="IMG_20210405_16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405_1625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Fot Jolanta Harna</w:t>
      </w: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Pr="00EA6411" w:rsidRDefault="000B331C" w:rsidP="00BD5AC3">
      <w:pPr>
        <w:rPr>
          <w:rFonts w:ascii="Calibri" w:hAnsi="Calibri"/>
          <w:color w:val="000000"/>
        </w:rPr>
      </w:pPr>
      <w:r w:rsidRPr="00EA6411">
        <w:rPr>
          <w:rFonts w:ascii="Calibri" w:hAnsi="Calibri"/>
          <w:noProof/>
          <w:color w:val="000000"/>
        </w:rPr>
        <w:drawing>
          <wp:inline distT="0" distB="0" distL="0" distR="0">
            <wp:extent cx="6057900" cy="2781300"/>
            <wp:effectExtent l="0" t="0" r="0" b="0"/>
            <wp:docPr id="2" name="Obraz 2" descr="IMG_20210405_16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405_162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Default="00EA6411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Fot Jolanta Harna</w:t>
      </w:r>
    </w:p>
    <w:p w:rsidR="00EA6411" w:rsidRDefault="00EA6411" w:rsidP="00BD5AC3">
      <w:pPr>
        <w:rPr>
          <w:rFonts w:ascii="Calibri" w:hAnsi="Calibri"/>
          <w:color w:val="000000"/>
        </w:rPr>
      </w:pPr>
    </w:p>
    <w:p w:rsidR="00EA6411" w:rsidRPr="00067594" w:rsidRDefault="00EA6411" w:rsidP="00BD5AC3">
      <w:pPr>
        <w:rPr>
          <w:rFonts w:ascii="Calibri" w:hAnsi="Calibri"/>
          <w:color w:val="000000"/>
        </w:rPr>
      </w:pPr>
    </w:p>
    <w:p w:rsidR="00067594" w:rsidRDefault="00067594" w:rsidP="00BD5AC3">
      <w:pPr>
        <w:rPr>
          <w:rFonts w:ascii="Calibri" w:hAnsi="Calibri"/>
          <w:color w:val="000000"/>
        </w:rPr>
      </w:pPr>
    </w:p>
    <w:p w:rsidR="00980C17" w:rsidRPr="00067594" w:rsidRDefault="00067594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 xml:space="preserve">. </w:t>
      </w:r>
    </w:p>
    <w:p w:rsidR="00F025C0" w:rsidRPr="00067594" w:rsidRDefault="00F025C0" w:rsidP="00BD5AC3">
      <w:pPr>
        <w:rPr>
          <w:rFonts w:ascii="Calibri" w:hAnsi="Calibri"/>
          <w:color w:val="000000"/>
        </w:rPr>
      </w:pPr>
    </w:p>
    <w:sectPr w:rsidR="00F025C0" w:rsidRPr="00067594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C3"/>
    <w:rsid w:val="000313CF"/>
    <w:rsid w:val="00067594"/>
    <w:rsid w:val="000B331C"/>
    <w:rsid w:val="000C536A"/>
    <w:rsid w:val="000E006B"/>
    <w:rsid w:val="002073EB"/>
    <w:rsid w:val="00463862"/>
    <w:rsid w:val="005150CD"/>
    <w:rsid w:val="0058090A"/>
    <w:rsid w:val="005A6FEF"/>
    <w:rsid w:val="00730970"/>
    <w:rsid w:val="007664A7"/>
    <w:rsid w:val="008701B2"/>
    <w:rsid w:val="008A1511"/>
    <w:rsid w:val="008C2A77"/>
    <w:rsid w:val="00980C17"/>
    <w:rsid w:val="00AB33FA"/>
    <w:rsid w:val="00AF0C67"/>
    <w:rsid w:val="00B45703"/>
    <w:rsid w:val="00B52B02"/>
    <w:rsid w:val="00B94F8B"/>
    <w:rsid w:val="00BD5AC3"/>
    <w:rsid w:val="00DD41F2"/>
    <w:rsid w:val="00E96B43"/>
    <w:rsid w:val="00EA6411"/>
    <w:rsid w:val="00F025C0"/>
    <w:rsid w:val="00F57F8B"/>
    <w:rsid w:val="00F838E1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3452-F8E7-4506-BAD1-0072509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AC3"/>
    <w:rPr>
      <w:rFonts w:ascii="Liberation Serif" w:eastAsia="Liberation Serif" w:hAnsi="Liberation Serif" w:cs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5AC3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0C6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B4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C5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C5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2021-09-20T22:25:00Z</dcterms:created>
  <dcterms:modified xsi:type="dcterms:W3CDTF">2021-09-20T22:25:00Z</dcterms:modified>
</cp:coreProperties>
</file>