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C6" w:rsidRPr="00EC1FC1" w:rsidRDefault="00D474C6" w:rsidP="00307EE1">
      <w:pPr>
        <w:pStyle w:val="normal"/>
        <w:jc w:val="both"/>
        <w:rPr>
          <w:rFonts w:ascii="Calibri" w:hAnsi="Calibri"/>
          <w:i/>
        </w:rPr>
      </w:pPr>
      <w:bookmarkStart w:id="0" w:name="_GoBack"/>
      <w:r w:rsidRPr="00EC1FC1">
        <w:rPr>
          <w:rFonts w:ascii="Calibri" w:hAnsi="Calibri"/>
          <w:b/>
        </w:rPr>
        <w:t>Centuria pospolita</w:t>
      </w:r>
      <w:r w:rsidRPr="00EC1FC1">
        <w:rPr>
          <w:rFonts w:ascii="Calibri" w:hAnsi="Calibri"/>
          <w:i/>
        </w:rPr>
        <w:t>(Centaurium erythraea Rafn.)</w:t>
      </w:r>
    </w:p>
    <w:p w:rsidR="00D474C6" w:rsidRPr="00EC1FC1" w:rsidRDefault="00D474C6" w:rsidP="00307EE1">
      <w:pPr>
        <w:pStyle w:val="normal"/>
        <w:jc w:val="both"/>
        <w:rPr>
          <w:rFonts w:ascii="Calibri" w:hAnsi="Calibri"/>
        </w:rPr>
      </w:pPr>
      <w:r w:rsidRPr="00EC1FC1">
        <w:rPr>
          <w:rFonts w:ascii="Calibri" w:hAnsi="Calibri"/>
        </w:rPr>
        <w:t>Centuria, zwana też centorią albo tysiącznikiem, wbrew swojej nazwie od dawna nie jest już zielem pospolitym. Dzieje się tak z powodu kurczenia się obszarów pastwisk, które są jednym z głównych miejsc jej występowania. Z tego powodu jest obecnie objęta ścisłą ochroną gatunkową, a ta, z którą mamy do czynienia w handlu pochodzi z upraw. W tradycyjnym podziale surowców zielarskich zaliczana była do tzw. „ziół gorzkich”, stosowanych z powodzeniem zarówno przez oficjalną, jak i ludową medycynę, w chorobach przewodu pokarmowego, jako środek poprawiający trawienie, żółciopędny, w dawnej medycynie stosowano ją też w chorobach serca, anemii, żółtaczce. Obecnie jednak stosowana bywa głównie jako środek poprawiający trawienie, zwiększający wydzielanie soków żołądkowych. Może też być stosowany do lecz</w:t>
      </w:r>
      <w:r w:rsidR="00DB4283" w:rsidRPr="00EC1FC1">
        <w:rPr>
          <w:rFonts w:ascii="Calibri" w:hAnsi="Calibri"/>
        </w:rPr>
        <w:t xml:space="preserve">enia bakteryjnych zakażeń skóry czy być składnikiem płynów do dezynfekcji jamy ustnej. Działanie zawdzięcza głownie obecności goryczy </w:t>
      </w:r>
      <w:r w:rsidR="00DB4283" w:rsidRPr="00EC1FC1">
        <w:rPr>
          <w:rFonts w:ascii="Calibri" w:hAnsi="Calibri"/>
          <w:color w:val="00B050"/>
        </w:rPr>
        <w:t>irydoidowych</w:t>
      </w:r>
      <w:r w:rsidR="00DB4283" w:rsidRPr="00EC1FC1">
        <w:rPr>
          <w:rFonts w:ascii="Calibri" w:hAnsi="Calibri"/>
        </w:rPr>
        <w:t xml:space="preserve"> oraz </w:t>
      </w:r>
      <w:r w:rsidR="00DB4283" w:rsidRPr="00EC1FC1">
        <w:rPr>
          <w:rFonts w:ascii="Calibri" w:hAnsi="Calibri"/>
          <w:color w:val="00B050"/>
        </w:rPr>
        <w:t>alkaloidów</w:t>
      </w:r>
      <w:r w:rsidR="00DB4283" w:rsidRPr="00EC1FC1">
        <w:rPr>
          <w:rFonts w:ascii="Calibri" w:hAnsi="Calibri"/>
        </w:rPr>
        <w:t xml:space="preserve"> ( gencjanina). </w:t>
      </w:r>
      <w:r w:rsidRPr="00EC1FC1">
        <w:rPr>
          <w:rFonts w:ascii="Calibri" w:hAnsi="Calibri"/>
        </w:rPr>
        <w:t xml:space="preserve"> Ziele centurii zbiera się na początku kwitnienia, suszy w zacienionym, przewiewnym miejscu, w temperaturze naturalnej, możliwie krótko. S</w:t>
      </w:r>
      <w:r w:rsidR="00E921FB">
        <w:rPr>
          <w:rFonts w:ascii="Calibri" w:hAnsi="Calibri"/>
        </w:rPr>
        <w:t>posób użycia ziela jest prosty,</w:t>
      </w:r>
      <w:r w:rsidRPr="00EC1FC1">
        <w:rPr>
          <w:rFonts w:ascii="Calibri" w:hAnsi="Calibri"/>
        </w:rPr>
        <w:t xml:space="preserve"> stosuje się je w postaci naparów z suchego lub świeżego ziela z 1 łyżki rozdrobnionego surowca na szklankę wrzątku. Smak naparu jest mocno gorzki, szklanka naparu powinna być wypijana w ciągu dnia w małych porcjach. </w:t>
      </w:r>
      <w:r w:rsidR="009445BF" w:rsidRPr="00EC1FC1">
        <w:rPr>
          <w:rFonts w:ascii="Calibri" w:hAnsi="Calibri"/>
        </w:rPr>
        <w:t xml:space="preserve">Stosowana także w leczeniu biegunek u zwierząt , na Podkarpaciu tradycyjnie zbierano tysiącznik , żeby móc go dodawać do paszy krowom w razie biegunki. </w:t>
      </w:r>
      <w:r w:rsidR="00DB4283" w:rsidRPr="00EC1FC1">
        <w:rPr>
          <w:rFonts w:ascii="Calibri" w:hAnsi="Calibri"/>
        </w:rPr>
        <w:t>Używana w mieszankach ziołowych do aromatyzowania alkoholi.</w:t>
      </w:r>
    </w:p>
    <w:p w:rsidR="006A53C9" w:rsidRPr="00EC1FC1" w:rsidRDefault="006A53C9" w:rsidP="00307EE1">
      <w:pPr>
        <w:pStyle w:val="normal"/>
        <w:jc w:val="both"/>
        <w:rPr>
          <w:rFonts w:ascii="Calibri" w:hAnsi="Calibri"/>
        </w:rPr>
      </w:pPr>
    </w:p>
    <w:p w:rsidR="006A53C9" w:rsidRPr="00EC1FC1" w:rsidRDefault="006A53C9" w:rsidP="00307EE1">
      <w:pPr>
        <w:pStyle w:val="normal"/>
        <w:jc w:val="both"/>
        <w:rPr>
          <w:rFonts w:ascii="Calibri" w:hAnsi="Calibri"/>
          <w:b/>
        </w:rPr>
      </w:pPr>
      <w:r w:rsidRPr="00EC1FC1">
        <w:rPr>
          <w:rFonts w:ascii="Calibri" w:hAnsi="Calibri"/>
          <w:b/>
        </w:rPr>
        <w:t>Przynależność systematyczna</w:t>
      </w:r>
    </w:p>
    <w:p w:rsidR="006A53C9" w:rsidRPr="00EC1FC1" w:rsidRDefault="006A53C9" w:rsidP="00307EE1">
      <w:pPr>
        <w:pStyle w:val="normal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</w:tblGrid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Domena</w:t>
            </w:r>
          </w:p>
        </w:tc>
        <w:tc>
          <w:tcPr>
            <w:tcW w:w="2127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eukarioty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Królestwo</w:t>
            </w:r>
          </w:p>
        </w:tc>
        <w:tc>
          <w:tcPr>
            <w:tcW w:w="2127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rośliny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Klad</w:t>
            </w:r>
          </w:p>
        </w:tc>
        <w:tc>
          <w:tcPr>
            <w:tcW w:w="2127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 xml:space="preserve">rośliny naczyniowe 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Klad</w:t>
            </w:r>
          </w:p>
        </w:tc>
        <w:tc>
          <w:tcPr>
            <w:tcW w:w="2127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rośliny nasienne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Klasa</w:t>
            </w:r>
          </w:p>
        </w:tc>
        <w:tc>
          <w:tcPr>
            <w:tcW w:w="2127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okrytonasienne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Klad</w:t>
            </w:r>
          </w:p>
        </w:tc>
        <w:tc>
          <w:tcPr>
            <w:tcW w:w="2127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astrowe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Rząd</w:t>
            </w:r>
          </w:p>
        </w:tc>
        <w:tc>
          <w:tcPr>
            <w:tcW w:w="2127" w:type="dxa"/>
          </w:tcPr>
          <w:p w:rsidR="006A53C9" w:rsidRPr="00EC1FC1" w:rsidRDefault="00DB4283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goryczkowce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Rodzina</w:t>
            </w:r>
          </w:p>
        </w:tc>
        <w:tc>
          <w:tcPr>
            <w:tcW w:w="2127" w:type="dxa"/>
          </w:tcPr>
          <w:p w:rsidR="006A53C9" w:rsidRPr="00EC1FC1" w:rsidRDefault="00DB4283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goryczkowate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 xml:space="preserve">Rodzaj  </w:t>
            </w:r>
          </w:p>
        </w:tc>
        <w:tc>
          <w:tcPr>
            <w:tcW w:w="2127" w:type="dxa"/>
          </w:tcPr>
          <w:p w:rsidR="006A53C9" w:rsidRPr="00EC1FC1" w:rsidRDefault="00DB4283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centuria</w:t>
            </w:r>
          </w:p>
        </w:tc>
      </w:tr>
      <w:tr w:rsidR="006A53C9" w:rsidRPr="00EC1FC1" w:rsidTr="003746EB">
        <w:tc>
          <w:tcPr>
            <w:tcW w:w="1242" w:type="dxa"/>
          </w:tcPr>
          <w:p w:rsidR="006A53C9" w:rsidRPr="00EC1FC1" w:rsidRDefault="006A53C9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Gatunek</w:t>
            </w:r>
          </w:p>
        </w:tc>
        <w:tc>
          <w:tcPr>
            <w:tcW w:w="2127" w:type="dxa"/>
          </w:tcPr>
          <w:p w:rsidR="006A53C9" w:rsidRPr="00EC1FC1" w:rsidRDefault="00DB4283" w:rsidP="00307E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C1FC1">
              <w:rPr>
                <w:sz w:val="24"/>
                <w:szCs w:val="24"/>
              </w:rPr>
              <w:t>Centuria pospolita</w:t>
            </w:r>
          </w:p>
        </w:tc>
      </w:tr>
    </w:tbl>
    <w:p w:rsidR="006A53C9" w:rsidRPr="00EC1FC1" w:rsidRDefault="006A53C9" w:rsidP="00307EE1">
      <w:pPr>
        <w:pStyle w:val="normal"/>
        <w:jc w:val="both"/>
        <w:rPr>
          <w:rFonts w:ascii="Calibri" w:hAnsi="Calibri"/>
        </w:rPr>
      </w:pPr>
    </w:p>
    <w:p w:rsidR="006A53C9" w:rsidRPr="00EC1FC1" w:rsidRDefault="006A53C9" w:rsidP="00307EE1">
      <w:pPr>
        <w:pStyle w:val="normal"/>
        <w:jc w:val="both"/>
        <w:rPr>
          <w:rFonts w:ascii="Calibri" w:hAnsi="Calibri"/>
        </w:rPr>
      </w:pPr>
      <w:r w:rsidRPr="00EC1FC1">
        <w:rPr>
          <w:rFonts w:ascii="Calibri" w:hAnsi="Calibri"/>
          <w:b/>
        </w:rPr>
        <w:t>Występowanie i biologia</w:t>
      </w:r>
      <w:r w:rsidRPr="00EC1FC1">
        <w:rPr>
          <w:rFonts w:ascii="Calibri" w:hAnsi="Calibri"/>
        </w:rPr>
        <w:t>.</w:t>
      </w:r>
    </w:p>
    <w:p w:rsidR="00DB4283" w:rsidRPr="00EC1FC1" w:rsidRDefault="00DB4283" w:rsidP="00307EE1">
      <w:pPr>
        <w:pStyle w:val="normal"/>
        <w:jc w:val="both"/>
        <w:rPr>
          <w:rFonts w:ascii="Calibri" w:hAnsi="Calibri"/>
        </w:rPr>
      </w:pPr>
      <w:r w:rsidRPr="00EC1FC1">
        <w:rPr>
          <w:rFonts w:ascii="Calibri" w:hAnsi="Calibri"/>
        </w:rPr>
        <w:t>Siedliska o płytkiej glebie</w:t>
      </w:r>
      <w:r w:rsidR="0063284A" w:rsidRPr="00EC1FC1">
        <w:rPr>
          <w:rFonts w:ascii="Calibri" w:hAnsi="Calibri"/>
        </w:rPr>
        <w:t xml:space="preserve">, średnio żyznej, w pełnym słońcu. Pastwiska, łąki, przydroża, rowy, </w:t>
      </w:r>
      <w:r w:rsidR="0063284A" w:rsidRPr="00EC1FC1">
        <w:rPr>
          <w:rFonts w:ascii="Calibri" w:hAnsi="Calibri"/>
          <w:color w:val="00B050"/>
        </w:rPr>
        <w:t>murawy</w:t>
      </w:r>
      <w:r w:rsidR="0063284A" w:rsidRPr="00EC1FC1">
        <w:rPr>
          <w:rFonts w:ascii="Calibri" w:hAnsi="Calibri"/>
        </w:rPr>
        <w:t>, miejsca raczej suche W górach po regiel dolny. Występuje w całej Polsce ale nigdzie nie rośnie licznie. Roślina dwuletnia, kwitnie w drugim roku i zamiera po wydaniu nasion. Niewielka, do 50cm a</w:t>
      </w:r>
      <w:r w:rsidR="00EC1FC1" w:rsidRPr="00EC1FC1">
        <w:rPr>
          <w:rFonts w:ascii="Calibri" w:hAnsi="Calibri"/>
        </w:rPr>
        <w:t>le za zwyczaj znacznie mniejsza, o delikatnym pokroju.</w:t>
      </w:r>
      <w:r w:rsidR="0063284A" w:rsidRPr="00EC1FC1">
        <w:rPr>
          <w:rFonts w:ascii="Calibri" w:hAnsi="Calibri"/>
        </w:rPr>
        <w:t xml:space="preserve"> Słabo rozgałęziona, liście </w:t>
      </w:r>
      <w:r w:rsidR="00EC1FC1" w:rsidRPr="00EC1FC1">
        <w:rPr>
          <w:rFonts w:ascii="Calibri" w:hAnsi="Calibri"/>
        </w:rPr>
        <w:t>niewielkie, wąskie, dolne zebrane w różyczkę, górne naprzeciwlegle rozmieszczone na łodydze kwiatowej.</w:t>
      </w:r>
      <w:r w:rsidR="0063284A" w:rsidRPr="00EC1FC1">
        <w:rPr>
          <w:rFonts w:ascii="Calibri" w:hAnsi="Calibri"/>
        </w:rPr>
        <w:t xml:space="preserve"> Kwitnie od wczesnego lata, kwiaty o pię</w:t>
      </w:r>
      <w:r w:rsidR="00EC1FC1" w:rsidRPr="00EC1FC1">
        <w:rPr>
          <w:rFonts w:ascii="Calibri" w:hAnsi="Calibri"/>
        </w:rPr>
        <w:t xml:space="preserve">ciu płatkach w </w:t>
      </w:r>
      <w:r w:rsidR="0063284A" w:rsidRPr="00EC1FC1">
        <w:rPr>
          <w:rFonts w:ascii="Calibri" w:hAnsi="Calibri"/>
        </w:rPr>
        <w:t xml:space="preserve"> intensywnie różowym kolorze, zamykają się przy pochmurnej pogodzie. </w:t>
      </w:r>
    </w:p>
    <w:p w:rsidR="006A53C9" w:rsidRPr="00EC1FC1" w:rsidRDefault="006A53C9" w:rsidP="00307EE1">
      <w:pPr>
        <w:pStyle w:val="normal"/>
        <w:jc w:val="both"/>
        <w:rPr>
          <w:rFonts w:ascii="Calibri" w:hAnsi="Calibri"/>
        </w:rPr>
      </w:pPr>
    </w:p>
    <w:p w:rsidR="006A53C9" w:rsidRPr="00EC1FC1" w:rsidRDefault="009445BF" w:rsidP="00307EE1">
      <w:pPr>
        <w:pStyle w:val="normal"/>
        <w:jc w:val="both"/>
        <w:rPr>
          <w:rFonts w:ascii="Calibri" w:hAnsi="Calibri"/>
        </w:rPr>
      </w:pPr>
      <w:r w:rsidRPr="00EC1FC1">
        <w:rPr>
          <w:rFonts w:ascii="Calibri" w:hAnsi="Calibri"/>
          <w:b/>
        </w:rPr>
        <w:t>Ciekawostki</w:t>
      </w:r>
      <w:r w:rsidRPr="00EC1FC1">
        <w:rPr>
          <w:rFonts w:ascii="Calibri" w:hAnsi="Calibri"/>
        </w:rPr>
        <w:t>.</w:t>
      </w:r>
    </w:p>
    <w:p w:rsidR="000E006B" w:rsidRDefault="000D500D" w:rsidP="00307EE1">
      <w:pPr>
        <w:pStyle w:val="normal"/>
        <w:jc w:val="both"/>
        <w:rPr>
          <w:rFonts w:ascii="Calibri" w:hAnsi="Calibri"/>
        </w:rPr>
      </w:pPr>
      <w:r w:rsidRPr="00EC1FC1">
        <w:rPr>
          <w:rFonts w:ascii="Calibri" w:hAnsi="Calibri"/>
        </w:rPr>
        <w:t xml:space="preserve">Lecznicze właściwości tysiącznika były doceniane już w  czasach antycznych. </w:t>
      </w:r>
      <w:r w:rsidR="009445BF" w:rsidRPr="00EC1FC1">
        <w:rPr>
          <w:rFonts w:ascii="Calibri" w:hAnsi="Calibri"/>
        </w:rPr>
        <w:t xml:space="preserve">Nazwa ziela, pochodzi od greckiego mitu o Centaurze </w:t>
      </w:r>
      <w:r w:rsidRPr="00EC1FC1">
        <w:rPr>
          <w:rFonts w:ascii="Calibri" w:hAnsi="Calibri"/>
        </w:rPr>
        <w:t xml:space="preserve">Chejronie, </w:t>
      </w:r>
      <w:r w:rsidR="006A53C9" w:rsidRPr="00EC1FC1">
        <w:rPr>
          <w:rFonts w:ascii="Calibri" w:hAnsi="Calibri"/>
        </w:rPr>
        <w:t xml:space="preserve">praojcu wszelkiej sztuki medycznej, nauczycielu Herosów, </w:t>
      </w:r>
      <w:r w:rsidRPr="00EC1FC1">
        <w:rPr>
          <w:rFonts w:ascii="Calibri" w:hAnsi="Calibri"/>
        </w:rPr>
        <w:t xml:space="preserve">który miał lekiem z centurią leczyć rany </w:t>
      </w:r>
    </w:p>
    <w:bookmarkEnd w:id="0"/>
    <w:p w:rsidR="00EC1FC1" w:rsidRDefault="00307EE1" w:rsidP="00EC1FC1">
      <w:pPr>
        <w:pStyle w:val="normal"/>
        <w:rPr>
          <w:rFonts w:ascii="Calibri" w:hAnsi="Calibri"/>
        </w:rPr>
      </w:pPr>
      <w:r w:rsidRPr="0056623C">
        <w:rPr>
          <w:rFonts w:ascii="Calibri" w:hAnsi="Calibri"/>
          <w:noProof/>
        </w:rPr>
        <w:lastRenderedPageBreak/>
        <w:drawing>
          <wp:inline distT="0" distB="0" distL="0" distR="0">
            <wp:extent cx="6143625" cy="4219575"/>
            <wp:effectExtent l="0" t="0" r="0" b="0"/>
            <wp:docPr id="1" name="Obraz 1" descr="cent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3C" w:rsidRDefault="0056623C" w:rsidP="00EC1FC1">
      <w:pPr>
        <w:pStyle w:val="normal"/>
        <w:rPr>
          <w:rFonts w:ascii="Calibri" w:hAnsi="Calibri"/>
        </w:rPr>
      </w:pPr>
    </w:p>
    <w:p w:rsidR="0056623C" w:rsidRPr="00EC1FC1" w:rsidRDefault="0056623C" w:rsidP="00EC1FC1">
      <w:pPr>
        <w:pStyle w:val="normal"/>
        <w:rPr>
          <w:rFonts w:ascii="Calibri" w:hAnsi="Calibri"/>
        </w:rPr>
      </w:pPr>
      <w:r>
        <w:rPr>
          <w:rFonts w:ascii="Calibri" w:hAnsi="Calibri"/>
        </w:rPr>
        <w:t>Centuria pospolita fot Aleksandra Ziółkowska</w:t>
      </w:r>
    </w:p>
    <w:sectPr w:rsidR="0056623C" w:rsidRPr="00EC1FC1" w:rsidSect="000E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C6"/>
    <w:rsid w:val="000313CF"/>
    <w:rsid w:val="000D500D"/>
    <w:rsid w:val="000E006B"/>
    <w:rsid w:val="00307EE1"/>
    <w:rsid w:val="003746EB"/>
    <w:rsid w:val="00463862"/>
    <w:rsid w:val="0056623C"/>
    <w:rsid w:val="0063284A"/>
    <w:rsid w:val="006A53C9"/>
    <w:rsid w:val="00730970"/>
    <w:rsid w:val="009445BF"/>
    <w:rsid w:val="00D474C6"/>
    <w:rsid w:val="00DB4283"/>
    <w:rsid w:val="00E921FB"/>
    <w:rsid w:val="00E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2257-EE1F-4FED-9075-6FA1ABD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0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474C6"/>
    <w:rPr>
      <w:rFonts w:ascii="Liberation Serif" w:eastAsia="Liberation Serif" w:hAnsi="Liberation Serif" w:cs="Liberation Seri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B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rafi1706</cp:lastModifiedBy>
  <cp:revision>2</cp:revision>
  <dcterms:created xsi:type="dcterms:W3CDTF">2021-08-12T22:35:00Z</dcterms:created>
  <dcterms:modified xsi:type="dcterms:W3CDTF">2021-08-12T22:35:00Z</dcterms:modified>
</cp:coreProperties>
</file>